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000000"/>
          <w:kern w:val="0"/>
          <w:sz w:val="44"/>
          <w:szCs w:val="44"/>
          <w:lang w:val="en-US" w:eastAsia="zh-CN" w:bidi="ar"/>
        </w:rPr>
      </w:pPr>
      <w:r>
        <w:rPr>
          <w:rFonts w:hint="eastAsia" w:ascii="宋体" w:hAnsi="宋体" w:eastAsia="方正小标宋简体" w:cs="方正小标宋简体"/>
          <w:color w:val="000000"/>
          <w:kern w:val="0"/>
          <w:sz w:val="44"/>
          <w:szCs w:val="44"/>
          <w:lang w:val="en-US" w:eastAsia="zh-CN" w:bidi="ar"/>
        </w:rPr>
        <w:t>部门整体支出绩效评价报告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宋体" w:hAnsi="宋体"/>
          <w:sz w:val="36"/>
          <w:szCs w:val="36"/>
        </w:rPr>
      </w:pPr>
      <w:r>
        <w:rPr>
          <w:rFonts w:hint="eastAsia" w:ascii="宋体" w:hAnsi="宋体" w:eastAsia="楷体_GB2312" w:cs="楷体_GB2312"/>
          <w:color w:val="000000"/>
          <w:kern w:val="0"/>
          <w:sz w:val="36"/>
          <w:szCs w:val="36"/>
          <w:lang w:val="en-US" w:eastAsia="zh-CN" w:bidi="ar"/>
        </w:rPr>
        <w:t xml:space="preserve">(2022年度) </w:t>
      </w:r>
    </w:p>
    <w:p>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lang w:eastAsia="zh-CN"/>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rPr>
      </w:pPr>
      <w:r>
        <w:rPr>
          <w:rFonts w:hint="eastAsia" w:ascii="宋体" w:hAnsi="宋体" w:eastAsia="楷体_GB2312" w:cs="楷体_GB2312"/>
          <w:b/>
          <w:bCs w:val="0"/>
          <w:spacing w:val="4"/>
          <w:sz w:val="32"/>
          <w:szCs w:val="32"/>
          <w:lang w:val="zh-CN"/>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zh-CN"/>
        </w:rPr>
      </w:pPr>
      <w:r>
        <w:rPr>
          <w:rFonts w:hint="eastAsia" w:ascii="宋体" w:hAnsi="宋体" w:eastAsia="仿宋_GB2312" w:cs="仿宋_GB2312"/>
          <w:sz w:val="32"/>
          <w:szCs w:val="32"/>
        </w:rPr>
        <w:t xml:space="preserve">县纪委与县监委合署办公，实行一套工作机构、两个机关名称，履行党的纪律检查和国家监察两项职责。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负责全县党的纪律检查工作。贯彻落实党中央、中央纪委、省委、省纪委、市委、市纪委和县委关于纪律检查工作的决定，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3.在县委领导下，配合县委巡察工作领导小组组织开展巡察工作，指导县委巡察工作领导小组办公室的工作。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4.负责全县监察工作。贯彻党中央、国家监委和省委、省监委、市委、市监委和县委关于监察工作的决定，维护宪法法律，依法对县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6.负责组织协调全县全面从严治党、党风廉政建设和反腐败宣传教育工作。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7.负责综合分析全县全面从严治党、党风廉政建设和反腐败工作情况，对纪检监察工作重要理论及实践问题进行调查研究；组织协调起草、修改本县纪检监察规范性文件，参与制定相关规章制度和规范性文件。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8.负责组织协调全县反腐败追逃追赃和防逃工作，督促有关单位做好相关工作。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9.依法对监察对象履行安全生产监督管理职责情况实施监察，参加和监督事故调查处理，对责任追究落实情况进行监督检查。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10.根据干部管理权限，负责纪检监察系统领导班子建设、干部队伍建设和组织建设的综合规划、政策研究、制度建设和业务指导；会同有关方面做好县纪委县监委派驻机构、乡（镇）纪检监察组织建设有关工作；组织和指导纪检监察系统干部教育培训工作等。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11.完成市纪委市监委、县委交办的其他任务。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（二）部门基本情况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本部门包含预算单位</w:t>
      </w:r>
      <w:r>
        <w:rPr>
          <w:rFonts w:hint="eastAsia" w:ascii="宋体" w:hAnsi="宋体" w:eastAsia="仿宋_GB2312" w:cs="仿宋_GB2312"/>
          <w:b w:val="0"/>
          <w:bCs w:val="0"/>
          <w:sz w:val="32"/>
          <w:szCs w:val="32"/>
          <w:lang w:val="en-US" w:eastAsia="zh-CN"/>
        </w:rPr>
        <w:t>2</w:t>
      </w:r>
      <w:r>
        <w:rPr>
          <w:rFonts w:hint="eastAsia" w:ascii="宋体" w:hAnsi="宋体" w:eastAsia="仿宋_GB2312" w:cs="仿宋_GB2312"/>
          <w:b w:val="0"/>
          <w:bCs w:val="0"/>
          <w:sz w:val="32"/>
          <w:szCs w:val="32"/>
        </w:rPr>
        <w:t>个，即</w:t>
      </w:r>
      <w:r>
        <w:rPr>
          <w:rFonts w:hint="eastAsia" w:ascii="宋体" w:hAnsi="宋体" w:eastAsia="仿宋_GB2312" w:cs="仿宋_GB2312"/>
          <w:b w:val="0"/>
          <w:bCs w:val="0"/>
          <w:sz w:val="32"/>
          <w:szCs w:val="32"/>
          <w:lang w:eastAsia="zh-CN"/>
        </w:rPr>
        <w:t>中共全南</w:t>
      </w:r>
      <w:r>
        <w:rPr>
          <w:rFonts w:hint="eastAsia" w:ascii="宋体" w:hAnsi="宋体" w:eastAsia="仿宋_GB2312" w:cs="仿宋_GB2312"/>
          <w:b w:val="0"/>
          <w:bCs w:val="0"/>
          <w:sz w:val="32"/>
          <w:szCs w:val="32"/>
          <w:lang w:val="en-US" w:eastAsia="zh-CN"/>
        </w:rPr>
        <w:t>县纪委县监委机关、</w:t>
      </w:r>
      <w:r>
        <w:rPr>
          <w:rFonts w:hint="eastAsia" w:ascii="宋体" w:hAnsi="宋体" w:eastAsia="仿宋_GB2312" w:cs="仿宋_GB2312"/>
          <w:b w:val="0"/>
          <w:bCs w:val="0"/>
          <w:sz w:val="32"/>
          <w:szCs w:val="32"/>
        </w:rPr>
        <w:t>中共全南县委巡察工作领导小组办公室</w:t>
      </w:r>
      <w:r>
        <w:rPr>
          <w:rFonts w:hint="eastAsia" w:ascii="宋体" w:hAnsi="宋体" w:eastAsia="仿宋_GB2312" w:cs="仿宋_GB2312"/>
          <w:b w:val="0"/>
          <w:bCs w:val="0"/>
          <w:sz w:val="32"/>
          <w:szCs w:val="32"/>
          <w:lang w:eastAsia="zh-CN"/>
        </w:rPr>
        <w:t>（含</w:t>
      </w:r>
      <w:r>
        <w:rPr>
          <w:rFonts w:hint="eastAsia" w:ascii="宋体" w:hAnsi="宋体" w:eastAsia="仿宋_GB2312" w:cs="仿宋_GB2312"/>
          <w:b w:val="0"/>
          <w:bCs w:val="0"/>
          <w:sz w:val="32"/>
          <w:szCs w:val="32"/>
          <w:lang w:val="en-US" w:eastAsia="zh-CN"/>
        </w:rPr>
        <w:t>3个县委巡察组</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rPr>
        <w:t>。人员编制总数为</w:t>
      </w:r>
      <w:r>
        <w:rPr>
          <w:rFonts w:hint="eastAsia" w:ascii="宋体" w:hAnsi="宋体" w:eastAsia="仿宋_GB2312" w:cs="仿宋_GB2312"/>
          <w:b w:val="0"/>
          <w:bCs w:val="0"/>
          <w:sz w:val="32"/>
          <w:szCs w:val="32"/>
          <w:lang w:val="en-US" w:eastAsia="zh-CN"/>
        </w:rPr>
        <w:t>81</w:t>
      </w:r>
      <w:r>
        <w:rPr>
          <w:rFonts w:hint="eastAsia" w:ascii="宋体" w:hAnsi="宋体" w:eastAsia="仿宋_GB2312" w:cs="仿宋_GB2312"/>
          <w:b w:val="0"/>
          <w:bCs w:val="0"/>
          <w:sz w:val="32"/>
          <w:szCs w:val="32"/>
        </w:rPr>
        <w:t>个（其中县纪委监委</w:t>
      </w:r>
      <w:r>
        <w:rPr>
          <w:rFonts w:hint="eastAsia" w:ascii="宋体" w:hAnsi="宋体" w:eastAsia="仿宋_GB2312" w:cs="仿宋_GB2312"/>
          <w:b w:val="0"/>
          <w:bCs w:val="0"/>
          <w:sz w:val="32"/>
          <w:szCs w:val="32"/>
          <w:lang w:val="en-US" w:eastAsia="zh-CN"/>
        </w:rPr>
        <w:t>38</w:t>
      </w:r>
      <w:r>
        <w:rPr>
          <w:rFonts w:hint="eastAsia" w:ascii="宋体" w:hAnsi="宋体" w:eastAsia="仿宋_GB2312" w:cs="仿宋_GB2312"/>
          <w:b w:val="0"/>
          <w:bCs w:val="0"/>
          <w:sz w:val="32"/>
          <w:szCs w:val="32"/>
        </w:rPr>
        <w:t>个，派驻机构29个，县委巡察办5个，3个县委巡察组9个），其中行政编制人数73个，全额拨款事业编制人数</w:t>
      </w:r>
      <w:r>
        <w:rPr>
          <w:rFonts w:hint="eastAsia" w:ascii="宋体" w:hAnsi="宋体" w:eastAsia="仿宋_GB2312" w:cs="仿宋_GB2312"/>
          <w:b w:val="0"/>
          <w:bCs w:val="0"/>
          <w:sz w:val="32"/>
          <w:szCs w:val="32"/>
          <w:lang w:val="en-US" w:eastAsia="zh-CN"/>
        </w:rPr>
        <w:t>7</w:t>
      </w:r>
      <w:r>
        <w:rPr>
          <w:rFonts w:hint="eastAsia" w:ascii="宋体" w:hAnsi="宋体" w:eastAsia="仿宋_GB2312" w:cs="仿宋_GB2312"/>
          <w:b w:val="0"/>
          <w:bCs w:val="0"/>
          <w:sz w:val="32"/>
          <w:szCs w:val="32"/>
        </w:rPr>
        <w:t>个,工勤编制人数1个。目前，在编总人数</w:t>
      </w:r>
      <w:r>
        <w:rPr>
          <w:rFonts w:hint="eastAsia" w:ascii="宋体" w:hAnsi="宋体" w:eastAsia="仿宋_GB2312" w:cs="仿宋_GB2312"/>
          <w:b w:val="0"/>
          <w:bCs w:val="0"/>
          <w:sz w:val="32"/>
          <w:szCs w:val="32"/>
          <w:lang w:val="en-US" w:eastAsia="zh-CN"/>
        </w:rPr>
        <w:t>69</w:t>
      </w:r>
      <w:r>
        <w:rPr>
          <w:rFonts w:hint="eastAsia" w:ascii="宋体" w:hAnsi="宋体" w:eastAsia="仿宋_GB2312" w:cs="仿宋_GB2312"/>
          <w:b w:val="0"/>
          <w:bCs w:val="0"/>
          <w:sz w:val="32"/>
          <w:szCs w:val="32"/>
        </w:rPr>
        <w:t>人，其中行政在编人数</w:t>
      </w:r>
      <w:r>
        <w:rPr>
          <w:rFonts w:hint="eastAsia" w:ascii="宋体" w:hAnsi="宋体" w:eastAsia="仿宋_GB2312" w:cs="仿宋_GB2312"/>
          <w:b w:val="0"/>
          <w:bCs w:val="0"/>
          <w:sz w:val="32"/>
          <w:szCs w:val="32"/>
          <w:lang w:val="en-US" w:eastAsia="zh-CN"/>
        </w:rPr>
        <w:t>63</w:t>
      </w:r>
      <w:r>
        <w:rPr>
          <w:rFonts w:hint="eastAsia" w:ascii="宋体" w:hAnsi="宋体" w:eastAsia="仿宋_GB2312" w:cs="仿宋_GB2312"/>
          <w:b w:val="0"/>
          <w:bCs w:val="0"/>
          <w:sz w:val="32"/>
          <w:szCs w:val="32"/>
        </w:rPr>
        <w:t>人，全额拨款事业在编人数</w:t>
      </w:r>
      <w:r>
        <w:rPr>
          <w:rFonts w:hint="eastAsia" w:ascii="宋体" w:hAnsi="宋体" w:eastAsia="仿宋_GB2312" w:cs="仿宋_GB2312"/>
          <w:b w:val="0"/>
          <w:bCs w:val="0"/>
          <w:sz w:val="32"/>
          <w:szCs w:val="32"/>
          <w:lang w:val="en-US" w:eastAsia="zh-CN"/>
        </w:rPr>
        <w:t>5</w:t>
      </w:r>
      <w:r>
        <w:rPr>
          <w:rFonts w:hint="eastAsia" w:ascii="宋体" w:hAnsi="宋体" w:eastAsia="仿宋_GB2312" w:cs="仿宋_GB2312"/>
          <w:b w:val="0"/>
          <w:bCs w:val="0"/>
          <w:sz w:val="32"/>
          <w:szCs w:val="32"/>
        </w:rPr>
        <w:t>人，工勤在编人数1人。退休人员1</w:t>
      </w:r>
      <w:r>
        <w:rPr>
          <w:rFonts w:hint="eastAsia" w:ascii="宋体" w:hAnsi="宋体" w:eastAsia="仿宋_GB2312" w:cs="仿宋_GB2312"/>
          <w:b w:val="0"/>
          <w:bCs w:val="0"/>
          <w:sz w:val="32"/>
          <w:szCs w:val="32"/>
          <w:lang w:val="en-US" w:eastAsia="zh-CN"/>
        </w:rPr>
        <w:t>1</w:t>
      </w:r>
      <w:r>
        <w:rPr>
          <w:rFonts w:hint="eastAsia" w:ascii="宋体" w:hAnsi="宋体" w:eastAsia="仿宋_GB2312" w:cs="仿宋_GB2312"/>
          <w:b w:val="0"/>
          <w:bCs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（三）当年部门履职情况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eastAsia="zh-CN"/>
        </w:rPr>
      </w:pPr>
      <w:r>
        <w:rPr>
          <w:rFonts w:hint="eastAsia" w:ascii="宋体" w:hAnsi="宋体" w:eastAsia="仿宋_GB2312" w:cs="仿宋_GB2312"/>
          <w:b w:val="0"/>
          <w:bCs w:val="0"/>
          <w:sz w:val="32"/>
          <w:szCs w:val="32"/>
        </w:rPr>
        <w:t>2022年是党的二十大召开之年，也是全南发展史上极不平凡、极为不易的一年。一年来，县委坚持以习近平新时代中国特色社会主义思想为指导，坚决扛起管党治党政治责任，扎实推进勤廉全南建设，坚定不移正风肃纪反腐，不断把全面从严治党引向深入，全县政治生态更加风清气正、向上向好。在县委和市纪委市监委的正确领导下，全县纪检监察机关紧紧围绕中心大局，始终坚持严的基调，充分发挥监督保障执行、促进完善发展作用，坚定稳妥推动党风廉政建设和反腐败工作取得新成效，有力服务保障全县经济社会高质量跨越式发展。</w:t>
      </w:r>
      <w:r>
        <w:rPr>
          <w:rFonts w:hint="eastAsia" w:ascii="宋体" w:hAnsi="宋体" w:eastAsia="仿宋_GB2312" w:cs="仿宋_GB2312"/>
          <w:b w:val="0"/>
          <w:bCs w:val="0"/>
          <w:sz w:val="32"/>
          <w:szCs w:val="32"/>
          <w:lang w:eastAsia="zh-CN"/>
        </w:rPr>
        <w:t>一是</w:t>
      </w:r>
      <w:r>
        <w:rPr>
          <w:rFonts w:hint="eastAsia" w:ascii="宋体" w:hAnsi="宋体" w:eastAsia="仿宋_GB2312" w:cs="仿宋_GB2312"/>
          <w:b w:val="0"/>
          <w:bCs w:val="0"/>
          <w:sz w:val="32"/>
          <w:szCs w:val="32"/>
        </w:rPr>
        <w:t>加强政治引领，践行“两个维护”更加坚决</w:t>
      </w:r>
      <w:r>
        <w:rPr>
          <w:rFonts w:hint="eastAsia" w:ascii="宋体" w:hAnsi="宋体" w:eastAsia="仿宋_GB2312" w:cs="仿宋_GB2312"/>
          <w:b w:val="0"/>
          <w:bCs w:val="0"/>
          <w:sz w:val="32"/>
          <w:szCs w:val="32"/>
          <w:lang w:eastAsia="zh-CN"/>
        </w:rPr>
        <w:t>；二是站稳人民立场，保障民生福祉更加有力；三是狠抓作风建设，党风政风社风更加清明；四是坚持系统施治，勤廉全南建设更加深入；五是深化政治巡察，治标固本作用更加彰显；六是强化一体培养，干部队伍素质更加过硬</w:t>
      </w:r>
      <w:r>
        <w:rPr>
          <w:rFonts w:hint="eastAsia" w:ascii="宋体" w:hAnsi="宋体"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（四）当年部门年度整体支出绩效目标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1.保障全体干部职工的工资福利待遇；2.保障监督执纪问责和监督调查处置等各项工作的有序开展；3.保障巡察机构的正常运转；4.提高各乡镇纪委运转的经费保障水平；5.保障推进留置专区建设的相关经费。</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（五）当年部门预算及执行情况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年初县财政局批复我委部门预算支出</w:t>
      </w:r>
      <w:r>
        <w:rPr>
          <w:rFonts w:hint="eastAsia" w:ascii="宋体" w:hAnsi="宋体" w:eastAsia="仿宋_GB2312" w:cs="仿宋_GB2312"/>
          <w:sz w:val="32"/>
          <w:szCs w:val="32"/>
          <w:lang w:val="en-US" w:eastAsia="zh-CN"/>
        </w:rPr>
        <w:t>2546.24</w:t>
      </w:r>
      <w:r>
        <w:rPr>
          <w:rFonts w:hint="eastAsia" w:ascii="宋体" w:hAnsi="宋体" w:eastAsia="仿宋_GB2312" w:cs="仿宋_GB2312"/>
          <w:sz w:val="32"/>
          <w:szCs w:val="32"/>
        </w:rPr>
        <w:t>万元。当年实际完成收入</w:t>
      </w:r>
      <w:r>
        <w:rPr>
          <w:rFonts w:hint="eastAsia" w:ascii="宋体" w:hAnsi="宋体" w:eastAsia="仿宋_GB2312" w:cs="仿宋_GB2312"/>
          <w:sz w:val="32"/>
          <w:szCs w:val="32"/>
          <w:lang w:val="en-US" w:eastAsia="zh-CN"/>
        </w:rPr>
        <w:t>3444.32</w:t>
      </w:r>
      <w:r>
        <w:rPr>
          <w:rFonts w:hint="eastAsia" w:ascii="宋体" w:hAnsi="宋体" w:eastAsia="仿宋_GB2312" w:cs="仿宋_GB2312"/>
          <w:sz w:val="32"/>
          <w:szCs w:val="32"/>
        </w:rPr>
        <w:t>万元；完成支出</w:t>
      </w:r>
      <w:r>
        <w:rPr>
          <w:rFonts w:hint="eastAsia" w:ascii="宋体" w:hAnsi="宋体" w:eastAsia="仿宋_GB2312" w:cs="仿宋_GB2312"/>
          <w:sz w:val="32"/>
          <w:szCs w:val="32"/>
          <w:lang w:val="en-US" w:eastAsia="zh-CN"/>
        </w:rPr>
        <w:t>3444.32</w:t>
      </w:r>
      <w:r>
        <w:rPr>
          <w:rFonts w:hint="eastAsia" w:ascii="宋体" w:hAnsi="宋体" w:eastAsia="仿宋_GB2312" w:cs="仿宋_GB2312"/>
          <w:sz w:val="32"/>
          <w:szCs w:val="32"/>
        </w:rPr>
        <w:t>万元，其中工资福利支出</w:t>
      </w:r>
      <w:r>
        <w:rPr>
          <w:rFonts w:hint="eastAsia" w:ascii="宋体" w:hAnsi="宋体" w:eastAsia="仿宋_GB2312" w:cs="仿宋_GB2312"/>
          <w:sz w:val="32"/>
          <w:szCs w:val="32"/>
          <w:lang w:val="en-US" w:eastAsia="zh-CN"/>
        </w:rPr>
        <w:t>1607.87</w:t>
      </w:r>
      <w:r>
        <w:rPr>
          <w:rFonts w:hint="eastAsia" w:ascii="宋体" w:hAnsi="宋体" w:eastAsia="仿宋_GB2312" w:cs="仿宋_GB2312"/>
          <w:sz w:val="32"/>
          <w:szCs w:val="32"/>
        </w:rPr>
        <w:t>万元、商品和服务支出</w:t>
      </w:r>
      <w:r>
        <w:rPr>
          <w:rFonts w:hint="eastAsia" w:ascii="宋体" w:hAnsi="宋体" w:eastAsia="仿宋_GB2312" w:cs="仿宋_GB2312"/>
          <w:sz w:val="32"/>
          <w:szCs w:val="32"/>
          <w:lang w:val="en-US" w:eastAsia="zh-CN"/>
        </w:rPr>
        <w:t>830.93</w:t>
      </w:r>
      <w:r>
        <w:rPr>
          <w:rFonts w:hint="eastAsia" w:ascii="宋体" w:hAnsi="宋体" w:eastAsia="仿宋_GB2312" w:cs="仿宋_GB2312"/>
          <w:sz w:val="32"/>
          <w:szCs w:val="32"/>
        </w:rPr>
        <w:t>万元、对个人和家庭的补助支出</w:t>
      </w:r>
      <w:r>
        <w:rPr>
          <w:rFonts w:hint="eastAsia" w:ascii="宋体" w:hAnsi="宋体" w:eastAsia="仿宋_GB2312" w:cs="仿宋_GB2312"/>
          <w:sz w:val="32"/>
          <w:szCs w:val="32"/>
          <w:lang w:val="en-US" w:eastAsia="zh-CN"/>
        </w:rPr>
        <w:t>14.6</w:t>
      </w:r>
      <w:r>
        <w:rPr>
          <w:rFonts w:hint="eastAsia" w:ascii="宋体" w:hAnsi="宋体" w:eastAsia="仿宋_GB2312" w:cs="仿宋_GB2312"/>
          <w:sz w:val="32"/>
          <w:szCs w:val="32"/>
        </w:rPr>
        <w:t>万元、其他资本性支出</w:t>
      </w:r>
      <w:r>
        <w:rPr>
          <w:rFonts w:hint="eastAsia" w:ascii="宋体" w:hAnsi="宋体" w:eastAsia="仿宋_GB2312" w:cs="仿宋_GB2312"/>
          <w:sz w:val="32"/>
          <w:szCs w:val="32"/>
          <w:lang w:val="en-US" w:eastAsia="zh-CN"/>
        </w:rPr>
        <w:t>990.92</w:t>
      </w:r>
      <w:r>
        <w:rPr>
          <w:rFonts w:hint="eastAsia" w:ascii="宋体" w:hAnsi="宋体" w:eastAsia="仿宋_GB2312" w:cs="仿宋_GB2312"/>
          <w:sz w:val="32"/>
          <w:szCs w:val="32"/>
        </w:rPr>
        <w:t>万元等；年底结余</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万元，其中基本支出结余</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万元、项目结余0万元。部门预算支出与决算的差异总额为</w:t>
      </w:r>
      <w:r>
        <w:rPr>
          <w:rFonts w:hint="eastAsia" w:ascii="宋体" w:hAnsi="宋体" w:eastAsia="仿宋_GB2312" w:cs="仿宋_GB2312"/>
          <w:sz w:val="32"/>
          <w:szCs w:val="32"/>
          <w:lang w:val="en-US" w:eastAsia="zh-CN"/>
        </w:rPr>
        <w:t>898.08</w:t>
      </w:r>
      <w:r>
        <w:rPr>
          <w:rFonts w:hint="eastAsia" w:ascii="宋体" w:hAnsi="宋体" w:eastAsia="仿宋_GB2312" w:cs="仿宋_GB2312"/>
          <w:sz w:val="32"/>
          <w:szCs w:val="32"/>
        </w:rPr>
        <w:t>万元，差异的具体情况及原因见下表：</w:t>
      </w:r>
    </w:p>
    <w:p>
      <w:pPr>
        <w:pStyle w:val="2"/>
        <w:rPr>
          <w:rFonts w:hint="eastAsia"/>
        </w:rPr>
      </w:pPr>
    </w:p>
    <w:tbl>
      <w:tblPr>
        <w:tblStyle w:val="3"/>
        <w:tblW w:w="0" w:type="auto"/>
        <w:jc w:val="center"/>
        <w:tblLayout w:type="fixed"/>
        <w:tblCellMar>
          <w:top w:w="0" w:type="dxa"/>
          <w:left w:w="108" w:type="dxa"/>
          <w:bottom w:w="0" w:type="dxa"/>
          <w:right w:w="108" w:type="dxa"/>
        </w:tblCellMar>
      </w:tblPr>
      <w:tblGrid>
        <w:gridCol w:w="1960"/>
        <w:gridCol w:w="1501"/>
        <w:gridCol w:w="1440"/>
        <w:gridCol w:w="1500"/>
        <w:gridCol w:w="1395"/>
      </w:tblGrid>
      <w:tr>
        <w:tblPrEx>
          <w:tblCellMar>
            <w:top w:w="0" w:type="dxa"/>
            <w:left w:w="108" w:type="dxa"/>
            <w:bottom w:w="0" w:type="dxa"/>
            <w:right w:w="108" w:type="dxa"/>
          </w:tblCellMar>
        </w:tblPrEx>
        <w:trPr>
          <w:trHeight w:val="285" w:hRule="atLeast"/>
          <w:jc w:val="center"/>
        </w:trPr>
        <w:tc>
          <w:tcPr>
            <w:tcW w:w="7796" w:type="dxa"/>
            <w:gridSpan w:val="5"/>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kern w:val="0"/>
                <w:sz w:val="32"/>
                <w:szCs w:val="32"/>
                <w:highlight w:val="yellow"/>
              </w:rPr>
            </w:pPr>
            <w:r>
              <w:rPr>
                <w:rFonts w:hint="eastAsia" w:ascii="宋体" w:hAnsi="宋体" w:eastAsia="仿宋_GB2312" w:cs="仿宋_GB2312"/>
                <w:b/>
                <w:bCs/>
                <w:kern w:val="0"/>
                <w:sz w:val="32"/>
                <w:szCs w:val="32"/>
                <w:highlight w:val="none"/>
              </w:rPr>
              <w:t>县纪委 202</w:t>
            </w:r>
            <w:r>
              <w:rPr>
                <w:rFonts w:hint="eastAsia" w:ascii="宋体" w:hAnsi="宋体" w:eastAsia="仿宋_GB2312" w:cs="仿宋_GB2312"/>
                <w:b/>
                <w:bCs/>
                <w:kern w:val="0"/>
                <w:sz w:val="32"/>
                <w:szCs w:val="32"/>
                <w:highlight w:val="none"/>
                <w:lang w:val="en-US" w:eastAsia="zh-CN"/>
              </w:rPr>
              <w:t>2</w:t>
            </w:r>
            <w:r>
              <w:rPr>
                <w:rFonts w:hint="eastAsia" w:ascii="宋体" w:hAnsi="宋体" w:eastAsia="仿宋_GB2312" w:cs="仿宋_GB2312"/>
                <w:b/>
                <w:bCs/>
                <w:kern w:val="0"/>
                <w:sz w:val="32"/>
                <w:szCs w:val="32"/>
                <w:highlight w:val="none"/>
              </w:rPr>
              <w:t>年度财政拨款预算执行总体情况</w:t>
            </w:r>
          </w:p>
        </w:tc>
      </w:tr>
      <w:tr>
        <w:tblPrEx>
          <w:tblCellMar>
            <w:top w:w="0" w:type="dxa"/>
            <w:left w:w="108" w:type="dxa"/>
            <w:bottom w:w="0" w:type="dxa"/>
            <w:right w:w="108" w:type="dxa"/>
          </w:tblCellMar>
        </w:tblPrEx>
        <w:trPr>
          <w:trHeight w:val="105" w:hRule="atLeast"/>
          <w:jc w:val="center"/>
        </w:trPr>
        <w:tc>
          <w:tcPr>
            <w:tcW w:w="19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30"/>
                <w:szCs w:val="30"/>
                <w:highlight w:val="yellow"/>
              </w:rPr>
            </w:pPr>
          </w:p>
        </w:tc>
        <w:tc>
          <w:tcPr>
            <w:tcW w:w="1501"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30"/>
                <w:szCs w:val="30"/>
                <w:highlight w:val="yellow"/>
              </w:rPr>
            </w:pPr>
          </w:p>
        </w:tc>
        <w:tc>
          <w:tcPr>
            <w:tcW w:w="144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30"/>
                <w:szCs w:val="30"/>
                <w:highlight w:val="yellow"/>
              </w:rPr>
            </w:pPr>
          </w:p>
        </w:tc>
        <w:tc>
          <w:tcPr>
            <w:tcW w:w="150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30"/>
                <w:szCs w:val="30"/>
                <w:highlight w:val="yellow"/>
              </w:rPr>
            </w:pPr>
          </w:p>
        </w:tc>
        <w:tc>
          <w:tcPr>
            <w:tcW w:w="1395"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24"/>
                <w:highlight w:val="yellow"/>
              </w:rPr>
            </w:pPr>
            <w:r>
              <w:rPr>
                <w:rFonts w:hint="eastAsia" w:ascii="宋体" w:hAnsi="宋体" w:eastAsia="仿宋_GB2312" w:cs="仿宋_GB2312"/>
                <w:kern w:val="0"/>
                <w:sz w:val="24"/>
                <w:highlight w:val="none"/>
              </w:rPr>
              <w:t>单位：万元</w:t>
            </w:r>
          </w:p>
        </w:tc>
      </w:tr>
      <w:tr>
        <w:tblPrEx>
          <w:tblCellMar>
            <w:top w:w="0" w:type="dxa"/>
            <w:left w:w="108" w:type="dxa"/>
            <w:bottom w:w="0" w:type="dxa"/>
            <w:right w:w="108" w:type="dxa"/>
          </w:tblCellMar>
        </w:tblPrEx>
        <w:trPr>
          <w:trHeight w:val="330" w:hRule="atLeast"/>
          <w:jc w:val="center"/>
        </w:trPr>
        <w:tc>
          <w:tcPr>
            <w:tcW w:w="19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项目</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小计</w:t>
            </w:r>
          </w:p>
        </w:tc>
        <w:tc>
          <w:tcPr>
            <w:tcW w:w="29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基本支出</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yellow"/>
              </w:rPr>
            </w:pPr>
            <w:r>
              <w:rPr>
                <w:rFonts w:hint="eastAsia" w:ascii="宋体" w:hAnsi="宋体" w:eastAsia="仿宋_GB2312" w:cs="仿宋_GB2312"/>
                <w:kern w:val="0"/>
                <w:sz w:val="30"/>
                <w:szCs w:val="30"/>
                <w:highlight w:val="none"/>
              </w:rPr>
              <w:t>项目支出</w:t>
            </w:r>
          </w:p>
        </w:tc>
      </w:tr>
      <w:tr>
        <w:tblPrEx>
          <w:tblCellMar>
            <w:top w:w="0" w:type="dxa"/>
            <w:left w:w="108" w:type="dxa"/>
            <w:bottom w:w="0" w:type="dxa"/>
            <w:right w:w="108" w:type="dxa"/>
          </w:tblCellMar>
        </w:tblPrEx>
        <w:trPr>
          <w:trHeight w:val="355" w:hRule="atLeast"/>
          <w:jc w:val="center"/>
        </w:trPr>
        <w:tc>
          <w:tcPr>
            <w:tcW w:w="19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0"/>
                <w:sz w:val="30"/>
                <w:szCs w:val="30"/>
                <w:highlight w:val="none"/>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人员经费</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公用经费</w:t>
            </w: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yellow"/>
              </w:rPr>
            </w:pPr>
          </w:p>
        </w:tc>
      </w:tr>
      <w:tr>
        <w:tblPrEx>
          <w:tblCellMar>
            <w:top w:w="0" w:type="dxa"/>
            <w:left w:w="108" w:type="dxa"/>
            <w:bottom w:w="0" w:type="dxa"/>
            <w:right w:w="108" w:type="dxa"/>
          </w:tblCellMar>
        </w:tblPrEx>
        <w:trPr>
          <w:trHeight w:val="226"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预算数</w:t>
            </w:r>
          </w:p>
        </w:tc>
        <w:tc>
          <w:tcPr>
            <w:tcW w:w="15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lang w:val="en-US" w:eastAsia="zh-CN"/>
              </w:rPr>
            </w:pPr>
            <w:r>
              <w:rPr>
                <w:rFonts w:hint="eastAsia" w:ascii="宋体" w:hAnsi="宋体" w:eastAsia="仿宋_GB2312" w:cs="仿宋_GB2312"/>
                <w:sz w:val="32"/>
                <w:szCs w:val="32"/>
                <w:lang w:val="en-US" w:eastAsia="zh-CN"/>
              </w:rPr>
              <w:t>2546.24</w:t>
            </w:r>
          </w:p>
        </w:tc>
        <w:tc>
          <w:tcPr>
            <w:tcW w:w="144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601.49</w:t>
            </w:r>
          </w:p>
        </w:tc>
        <w:tc>
          <w:tcPr>
            <w:tcW w:w="150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268.75</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1676</w:t>
            </w:r>
          </w:p>
        </w:tc>
      </w:tr>
      <w:tr>
        <w:tblPrEx>
          <w:tblCellMar>
            <w:top w:w="0" w:type="dxa"/>
            <w:left w:w="108" w:type="dxa"/>
            <w:bottom w:w="0" w:type="dxa"/>
            <w:right w:w="108" w:type="dxa"/>
          </w:tblCellMar>
        </w:tblPrEx>
        <w:trPr>
          <w:trHeight w:val="315"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决算数</w:t>
            </w:r>
          </w:p>
        </w:tc>
        <w:tc>
          <w:tcPr>
            <w:tcW w:w="15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lang w:val="en-US" w:eastAsia="zh-CN"/>
              </w:rPr>
            </w:pPr>
            <w:r>
              <w:rPr>
                <w:rFonts w:hint="eastAsia" w:ascii="宋体" w:hAnsi="宋体" w:eastAsia="仿宋_GB2312" w:cs="仿宋_GB2312"/>
                <w:sz w:val="32"/>
                <w:szCs w:val="32"/>
                <w:lang w:val="en-US" w:eastAsia="zh-CN"/>
              </w:rPr>
              <w:t>3444.32</w:t>
            </w:r>
          </w:p>
        </w:tc>
        <w:tc>
          <w:tcPr>
            <w:tcW w:w="144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1622.47</w:t>
            </w:r>
          </w:p>
        </w:tc>
        <w:tc>
          <w:tcPr>
            <w:tcW w:w="150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727.24</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1094.61</w:t>
            </w:r>
          </w:p>
        </w:tc>
      </w:tr>
      <w:tr>
        <w:tblPrEx>
          <w:tblCellMar>
            <w:top w:w="0" w:type="dxa"/>
            <w:left w:w="108" w:type="dxa"/>
            <w:bottom w:w="0" w:type="dxa"/>
            <w:right w:w="108" w:type="dxa"/>
          </w:tblCellMar>
        </w:tblPrEx>
        <w:trPr>
          <w:trHeight w:val="390"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rPr>
            </w:pPr>
            <w:r>
              <w:rPr>
                <w:rFonts w:hint="eastAsia" w:ascii="宋体" w:hAnsi="宋体" w:eastAsia="仿宋_GB2312" w:cs="仿宋_GB2312"/>
                <w:kern w:val="0"/>
                <w:sz w:val="30"/>
                <w:szCs w:val="30"/>
                <w:highlight w:val="none"/>
              </w:rPr>
              <w:t>预决算的差异数</w:t>
            </w:r>
          </w:p>
        </w:tc>
        <w:tc>
          <w:tcPr>
            <w:tcW w:w="150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30"/>
                <w:szCs w:val="30"/>
                <w:highlight w:val="none"/>
                <w:lang w:val="en-US" w:eastAsia="zh-CN"/>
              </w:rPr>
            </w:pPr>
            <w:r>
              <w:rPr>
                <w:rFonts w:hint="eastAsia" w:ascii="宋体" w:hAnsi="宋体" w:eastAsia="仿宋_GB2312" w:cs="仿宋_GB2312"/>
                <w:sz w:val="32"/>
                <w:szCs w:val="32"/>
                <w:lang w:val="en-US" w:eastAsia="zh-CN"/>
              </w:rPr>
              <w:t>898.08</w:t>
            </w:r>
          </w:p>
        </w:tc>
        <w:tc>
          <w:tcPr>
            <w:tcW w:w="144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1020.98</w:t>
            </w:r>
          </w:p>
        </w:tc>
        <w:tc>
          <w:tcPr>
            <w:tcW w:w="150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458.49</w:t>
            </w:r>
          </w:p>
        </w:tc>
        <w:tc>
          <w:tcPr>
            <w:tcW w:w="139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kern w:val="0"/>
                <w:sz w:val="30"/>
                <w:szCs w:val="30"/>
                <w:highlight w:val="none"/>
                <w:lang w:val="en-US" w:eastAsia="zh-CN"/>
              </w:rPr>
            </w:pPr>
            <w:r>
              <w:rPr>
                <w:rFonts w:hint="eastAsia" w:ascii="宋体" w:hAnsi="宋体" w:eastAsia="仿宋_GB2312" w:cs="仿宋_GB2312"/>
                <w:kern w:val="0"/>
                <w:sz w:val="30"/>
                <w:szCs w:val="30"/>
                <w:highlight w:val="none"/>
                <w:lang w:val="en-US" w:eastAsia="zh-CN"/>
              </w:rPr>
              <w:t>581.39</w:t>
            </w:r>
          </w:p>
        </w:tc>
      </w:tr>
      <w:tr>
        <w:tblPrEx>
          <w:tblCellMar>
            <w:top w:w="0" w:type="dxa"/>
            <w:left w:w="108" w:type="dxa"/>
            <w:bottom w:w="0" w:type="dxa"/>
            <w:right w:w="108" w:type="dxa"/>
          </w:tblCellMar>
        </w:tblPrEx>
        <w:trPr>
          <w:trHeight w:val="530" w:hRule="atLeast"/>
          <w:jc w:val="center"/>
        </w:trPr>
        <w:tc>
          <w:tcPr>
            <w:tcW w:w="779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仿宋_GB2312" w:cs="仿宋_GB2312"/>
                <w:kern w:val="0"/>
                <w:sz w:val="32"/>
                <w:szCs w:val="32"/>
                <w:highlight w:val="yellow"/>
              </w:rPr>
            </w:pPr>
            <w:r>
              <w:rPr>
                <w:rFonts w:hint="eastAsia" w:ascii="宋体" w:hAnsi="宋体" w:eastAsia="仿宋_GB2312" w:cs="仿宋_GB2312"/>
                <w:kern w:val="0"/>
                <w:sz w:val="32"/>
                <w:szCs w:val="32"/>
                <w:highlight w:val="none"/>
              </w:rPr>
              <w:t>差异原因主要是：</w:t>
            </w:r>
            <w:r>
              <w:rPr>
                <w:rFonts w:hint="eastAsia" w:ascii="宋体" w:hAnsi="宋体" w:eastAsia="仿宋_GB2312" w:cs="仿宋_GB2312"/>
                <w:kern w:val="0"/>
                <w:sz w:val="32"/>
                <w:szCs w:val="32"/>
                <w:highlight w:val="none"/>
                <w:lang w:val="en-US" w:eastAsia="zh-CN"/>
              </w:rPr>
              <w:t>1</w:t>
            </w:r>
            <w:r>
              <w:rPr>
                <w:rFonts w:hint="eastAsia" w:ascii="宋体" w:hAnsi="宋体" w:eastAsia="仿宋_GB2312" w:cs="仿宋_GB2312"/>
                <w:kern w:val="0"/>
                <w:sz w:val="32"/>
                <w:szCs w:val="32"/>
                <w:highlight w:val="none"/>
              </w:rPr>
              <w:t>.202</w:t>
            </w:r>
            <w:r>
              <w:rPr>
                <w:rFonts w:hint="eastAsia" w:ascii="宋体" w:hAnsi="宋体" w:eastAsia="仿宋_GB2312" w:cs="仿宋_GB2312"/>
                <w:kern w:val="0"/>
                <w:sz w:val="32"/>
                <w:szCs w:val="32"/>
                <w:highlight w:val="none"/>
                <w:lang w:val="en-US" w:eastAsia="zh-CN"/>
              </w:rPr>
              <w:t>2</w:t>
            </w:r>
            <w:r>
              <w:rPr>
                <w:rFonts w:hint="eastAsia" w:ascii="宋体" w:hAnsi="宋体" w:eastAsia="仿宋_GB2312" w:cs="仿宋_GB2312"/>
                <w:kern w:val="0"/>
                <w:sz w:val="32"/>
                <w:szCs w:val="32"/>
                <w:highlight w:val="none"/>
              </w:rPr>
              <w:t>年办理异地留置专案</w:t>
            </w:r>
            <w:r>
              <w:rPr>
                <w:rFonts w:hint="eastAsia" w:ascii="宋体" w:hAnsi="宋体" w:eastAsia="仿宋_GB2312" w:cs="仿宋_GB2312"/>
                <w:kern w:val="0"/>
                <w:sz w:val="32"/>
                <w:szCs w:val="32"/>
                <w:highlight w:val="none"/>
                <w:lang w:eastAsia="zh-CN"/>
              </w:rPr>
              <w:t>较多</w:t>
            </w:r>
            <w:r>
              <w:rPr>
                <w:rFonts w:hint="eastAsia" w:ascii="宋体" w:hAnsi="宋体" w:eastAsia="仿宋_GB2312" w:cs="仿宋_GB2312"/>
                <w:kern w:val="0"/>
                <w:sz w:val="32"/>
                <w:szCs w:val="32"/>
                <w:highlight w:val="none"/>
              </w:rPr>
              <w:t>，办案人员食宿等办案费用支出方面增加较多</w:t>
            </w:r>
            <w:r>
              <w:rPr>
                <w:rFonts w:hint="eastAsia" w:ascii="宋体" w:hAnsi="宋体" w:eastAsia="仿宋_GB2312" w:cs="仿宋_GB2312"/>
                <w:kern w:val="0"/>
                <w:sz w:val="32"/>
                <w:szCs w:val="32"/>
                <w:highlight w:val="none"/>
                <w:lang w:eastAsia="zh-CN"/>
              </w:rPr>
              <w:t>；</w:t>
            </w:r>
            <w:r>
              <w:rPr>
                <w:rFonts w:hint="eastAsia" w:ascii="宋体" w:hAnsi="宋体" w:eastAsia="仿宋_GB2312" w:cs="仿宋_GB2312"/>
                <w:kern w:val="0"/>
                <w:sz w:val="32"/>
                <w:szCs w:val="32"/>
                <w:highlight w:val="none"/>
                <w:lang w:val="en-US" w:eastAsia="zh-CN"/>
              </w:rPr>
              <w:t>2</w:t>
            </w:r>
            <w:r>
              <w:rPr>
                <w:rFonts w:hint="eastAsia" w:ascii="宋体" w:hAnsi="宋体" w:eastAsia="仿宋_GB2312" w:cs="仿宋_GB2312"/>
                <w:kern w:val="0"/>
                <w:sz w:val="32"/>
                <w:szCs w:val="32"/>
                <w:highlight w:val="none"/>
              </w:rPr>
              <w:t>.</w:t>
            </w:r>
            <w:r>
              <w:rPr>
                <w:rFonts w:hint="eastAsia" w:ascii="宋体" w:hAnsi="宋体" w:eastAsia="仿宋_GB2312" w:cs="仿宋_GB2312"/>
                <w:kern w:val="0"/>
                <w:sz w:val="32"/>
                <w:szCs w:val="32"/>
                <w:highlight w:val="none"/>
                <w:lang w:val="en-US" w:eastAsia="zh-CN"/>
              </w:rPr>
              <w:t>2022年留置分中心开始运行，其中人员经费支出、办公经费支出、办案支出等增加较多</w:t>
            </w:r>
            <w:r>
              <w:rPr>
                <w:rFonts w:hint="eastAsia" w:ascii="宋体" w:hAnsi="宋体" w:eastAsia="仿宋_GB2312" w:cs="仿宋_GB2312"/>
                <w:kern w:val="0"/>
                <w:sz w:val="32"/>
                <w:szCs w:val="32"/>
                <w:highlight w:val="none"/>
              </w:rPr>
              <w:t>。</w:t>
            </w:r>
          </w:p>
        </w:tc>
      </w:tr>
    </w:tbl>
    <w:p>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hint="eastAsia" w:ascii="宋体" w:hAnsi="宋体" w:eastAsia="仿宋_GB2312" w:cs="仿宋_GB2312"/>
          <w:b w:val="0"/>
          <w:bCs w:val="0"/>
          <w:sz w:val="32"/>
          <w:szCs w:val="32"/>
          <w:highlight w:val="none"/>
          <w:lang w:eastAsia="zh-CN"/>
        </w:rPr>
      </w:pPr>
      <w:r>
        <w:rPr>
          <w:rFonts w:hint="eastAsia" w:ascii="宋体" w:hAnsi="宋体" w:eastAsia="楷体_GB2312" w:cs="楷体_GB2312"/>
          <w:b w:val="0"/>
          <w:bCs w:val="0"/>
          <w:sz w:val="32"/>
          <w:szCs w:val="32"/>
          <w:lang w:val="zh-CN" w:eastAsia="zh-CN"/>
        </w:rPr>
        <w:t>1.基本支出</w:t>
      </w:r>
      <w:r>
        <w:rPr>
          <w:rFonts w:hint="eastAsia" w:ascii="宋体" w:hAnsi="宋体" w:eastAsia="仿宋_GB2312" w:cs="仿宋_GB2312"/>
          <w:b w:val="0"/>
          <w:bCs w:val="0"/>
          <w:sz w:val="32"/>
          <w:szCs w:val="32"/>
          <w:highlight w:val="none"/>
          <w:lang w:eastAsia="zh-CN"/>
        </w:rPr>
        <w:t>：</w:t>
      </w:r>
      <w:r>
        <w:rPr>
          <w:rFonts w:hint="eastAsia" w:ascii="宋体" w:hAnsi="宋体" w:eastAsia="仿宋_GB2312" w:cs="仿宋_GB2312"/>
          <w:b w:val="0"/>
          <w:bCs w:val="0"/>
          <w:sz w:val="32"/>
          <w:szCs w:val="32"/>
          <w:highlight w:val="none"/>
        </w:rPr>
        <w:t>主要用于县纪委人员经费和日常管理开支。资金管理实行“收支”两条线，最大限度地提高资金的使用效益。全年“三公”经费合计</w:t>
      </w:r>
      <w:r>
        <w:rPr>
          <w:rFonts w:hint="eastAsia" w:ascii="宋体" w:hAnsi="宋体" w:eastAsia="仿宋_GB2312" w:cs="仿宋_GB2312"/>
          <w:b w:val="0"/>
          <w:bCs w:val="0"/>
          <w:sz w:val="32"/>
          <w:szCs w:val="32"/>
          <w:highlight w:val="none"/>
          <w:lang w:val="en-US" w:eastAsia="zh-CN"/>
        </w:rPr>
        <w:t>68.32</w:t>
      </w:r>
      <w:r>
        <w:rPr>
          <w:rFonts w:hint="eastAsia" w:ascii="宋体" w:hAnsi="宋体" w:eastAsia="仿宋_GB2312" w:cs="仿宋_GB2312"/>
          <w:b w:val="0"/>
          <w:bCs w:val="0"/>
          <w:sz w:val="32"/>
          <w:szCs w:val="32"/>
          <w:highlight w:val="none"/>
        </w:rPr>
        <w:t>万元，</w:t>
      </w:r>
      <w:r>
        <w:rPr>
          <w:rFonts w:hint="eastAsia" w:ascii="宋体" w:hAnsi="宋体" w:eastAsia="仿宋_GB2312" w:cs="仿宋_GB2312"/>
          <w:b w:val="0"/>
          <w:bCs w:val="0"/>
          <w:sz w:val="32"/>
          <w:szCs w:val="32"/>
          <w:highlight w:val="none"/>
          <w:lang w:eastAsia="zh-CN"/>
        </w:rPr>
        <w:t>其中公务接待费</w:t>
      </w:r>
      <w:r>
        <w:rPr>
          <w:rFonts w:hint="eastAsia" w:ascii="宋体" w:hAnsi="宋体" w:eastAsia="仿宋_GB2312" w:cs="仿宋_GB2312"/>
          <w:b w:val="0"/>
          <w:bCs w:val="0"/>
          <w:sz w:val="32"/>
          <w:szCs w:val="32"/>
          <w:highlight w:val="none"/>
          <w:lang w:val="en-US" w:eastAsia="zh-CN"/>
        </w:rPr>
        <w:t>13.6万元、公务用车运行维护费29.87万元，公务用车购置24.85万元。</w:t>
      </w:r>
      <w:r>
        <w:rPr>
          <w:rFonts w:hint="eastAsia" w:ascii="宋体" w:hAnsi="宋体" w:eastAsia="仿宋_GB2312" w:cs="仿宋_GB2312"/>
          <w:b w:val="0"/>
          <w:bCs w:val="0"/>
          <w:sz w:val="32"/>
          <w:szCs w:val="32"/>
          <w:highlight w:val="none"/>
        </w:rPr>
        <w:t>“三公”经费、会议费、培训费等开支均严格按照县里相关文件要求执行</w:t>
      </w:r>
      <w:r>
        <w:rPr>
          <w:rFonts w:hint="eastAsia" w:ascii="宋体" w:hAnsi="宋体"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sz w:val="32"/>
          <w:szCs w:val="32"/>
        </w:rPr>
      </w:pPr>
      <w:r>
        <w:rPr>
          <w:rFonts w:hint="eastAsia" w:ascii="宋体" w:hAnsi="宋体" w:eastAsia="仿宋_GB2312" w:cs="仿宋_GB2312"/>
          <w:b w:val="0"/>
          <w:bCs w:val="0"/>
          <w:sz w:val="32"/>
          <w:szCs w:val="32"/>
        </w:rPr>
        <w:t>2.项目支出</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kern w:val="0"/>
          <w:sz w:val="32"/>
          <w:szCs w:val="32"/>
          <w:lang w:val="en-US" w:eastAsia="zh-CN"/>
        </w:rPr>
        <w:t>根据预算绩效管理要求，我部门组织对纳入2022年度部门预算范围的二级项目5个全面开展绩效自评，共涉及资金1676万元。从评价情况来看，</w:t>
      </w:r>
      <w:r>
        <w:rPr>
          <w:rFonts w:hint="eastAsia" w:ascii="宋体" w:hAnsi="宋体" w:eastAsia="仿宋_GB2312" w:cs="仿宋_GB2312"/>
          <w:kern w:val="0"/>
          <w:sz w:val="32"/>
          <w:szCs w:val="32"/>
          <w:lang w:val="en-US" w:eastAsia="zh-CN"/>
        </w:rPr>
        <w:t>我部门严格按照有关规定实施项目，实际程序和资金管理规范，取得了良好的管理效益和社会效果。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hint="eastAsia" w:ascii="宋体" w:hAnsi="宋体" w:eastAsia="黑体" w:cs="黑体"/>
          <w:color w:val="000000"/>
          <w:kern w:val="0"/>
          <w:sz w:val="32"/>
          <w:szCs w:val="32"/>
          <w:lang w:val="en-US" w:eastAsia="zh-CN" w:bidi="ar"/>
        </w:rPr>
        <w:t xml:space="preserve">二、评价工作开展情况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仿宋_GB2312" w:cs="仿宋_GB2312"/>
          <w:sz w:val="32"/>
          <w:szCs w:val="40"/>
        </w:rPr>
      </w:pPr>
      <w:r>
        <w:rPr>
          <w:rFonts w:hint="eastAsia" w:ascii="宋体" w:hAnsi="宋体" w:eastAsia="仿宋_GB2312" w:cs="仿宋_GB2312"/>
          <w:b/>
          <w:bCs/>
          <w:sz w:val="32"/>
          <w:szCs w:val="40"/>
        </w:rPr>
        <w:t>（一）绩效评价目的：</w:t>
      </w:r>
      <w:r>
        <w:rPr>
          <w:rFonts w:hint="eastAsia" w:ascii="宋体" w:hAnsi="宋体" w:eastAsia="仿宋_GB2312" w:cs="仿宋_GB2312"/>
          <w:sz w:val="32"/>
          <w:szCs w:val="40"/>
        </w:rPr>
        <w:t>坚持把有案必查、有腐必惩当作对担当作为者的最好保护，对违纪违法尤其是以干事创业为名搞个人腐败的，坚决深挖彻查、一查到底，让失责必问、问责必严成为常态。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32"/>
          <w:szCs w:val="40"/>
        </w:rPr>
      </w:pPr>
      <w:r>
        <w:rPr>
          <w:rFonts w:hint="eastAsia" w:ascii="宋体" w:hAnsi="宋体" w:eastAsia="仿宋_GB2312" w:cs="仿宋_GB2312"/>
          <w:sz w:val="32"/>
          <w:szCs w:val="40"/>
        </w:rPr>
        <w:t xml:space="preserve">    </w:t>
      </w:r>
      <w:r>
        <w:rPr>
          <w:rFonts w:hint="eastAsia" w:ascii="宋体" w:hAnsi="宋体" w:eastAsia="仿宋_GB2312" w:cs="仿宋_GB2312"/>
          <w:b/>
          <w:bCs/>
          <w:sz w:val="32"/>
          <w:szCs w:val="40"/>
        </w:rPr>
        <w:t>（二）绩效评价工作方案：</w:t>
      </w:r>
      <w:r>
        <w:rPr>
          <w:rFonts w:hint="eastAsia" w:ascii="宋体" w:hAnsi="宋体" w:eastAsia="仿宋_GB2312" w:cs="仿宋_GB2312"/>
          <w:sz w:val="32"/>
          <w:szCs w:val="40"/>
        </w:rPr>
        <w:t>按照县财政局《关于开展2022年度绩效自评和部门评价工作的通知》要求执行。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32"/>
          <w:szCs w:val="40"/>
        </w:rPr>
      </w:pPr>
      <w:r>
        <w:rPr>
          <w:rFonts w:hint="eastAsia" w:ascii="宋体" w:hAnsi="宋体" w:eastAsia="仿宋_GB2312" w:cs="仿宋_GB2312"/>
          <w:sz w:val="32"/>
          <w:szCs w:val="40"/>
        </w:rPr>
        <w:t xml:space="preserve">    </w:t>
      </w:r>
      <w:r>
        <w:rPr>
          <w:rFonts w:hint="eastAsia" w:ascii="宋体" w:hAnsi="宋体" w:eastAsia="仿宋_GB2312" w:cs="仿宋_GB2312"/>
          <w:b/>
          <w:bCs/>
          <w:sz w:val="32"/>
          <w:szCs w:val="40"/>
        </w:rPr>
        <w:t>（三）绩效评价原则和方法：</w:t>
      </w:r>
      <w:r>
        <w:rPr>
          <w:rFonts w:hint="eastAsia" w:ascii="宋体" w:hAnsi="宋体" w:eastAsia="仿宋_GB2312" w:cs="仿宋_GB2312"/>
          <w:sz w:val="32"/>
          <w:szCs w:val="40"/>
        </w:rPr>
        <w:t>按照“谁使用、谁评价”的原则，由项目主管部门县纪委、县监委按县财政局有关文件规定要求组织实施。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32"/>
          <w:szCs w:val="40"/>
        </w:rPr>
      </w:pPr>
      <w:r>
        <w:rPr>
          <w:rFonts w:hint="eastAsia" w:ascii="宋体" w:hAnsi="宋体" w:eastAsia="仿宋" w:cs="仿宋_GB2312"/>
          <w:sz w:val="32"/>
          <w:szCs w:val="40"/>
        </w:rPr>
        <w:t xml:space="preserve">    </w:t>
      </w:r>
      <w:r>
        <w:rPr>
          <w:rFonts w:hint="eastAsia" w:ascii="宋体" w:hAnsi="宋体" w:eastAsia="仿宋_GB2312" w:cs="仿宋_GB2312"/>
          <w:b/>
          <w:bCs/>
          <w:sz w:val="32"/>
          <w:szCs w:val="40"/>
        </w:rPr>
        <w:t>（四）绩效评价实施：</w:t>
      </w:r>
      <w:r>
        <w:rPr>
          <w:rFonts w:hint="eastAsia" w:ascii="宋体" w:hAnsi="宋体" w:eastAsia="仿宋_GB2312" w:cs="仿宋_GB2312"/>
          <w:sz w:val="32"/>
          <w:szCs w:val="40"/>
        </w:rPr>
        <w:t>县纪委按照评价指标和评价标准，对非税收入执收成本项目进行自评，确保能真实反映资金的使用绩效及绩效目标的实现程度。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sz w:val="32"/>
          <w:szCs w:val="40"/>
        </w:rPr>
      </w:pPr>
      <w:r>
        <w:rPr>
          <w:rFonts w:hint="eastAsia" w:ascii="宋体" w:hAnsi="宋体" w:eastAsia="仿宋_GB2312" w:cs="仿宋_GB2312"/>
          <w:b/>
          <w:bCs/>
          <w:sz w:val="32"/>
          <w:szCs w:val="40"/>
        </w:rPr>
        <w:t>（五）绩效评价的局限性：</w:t>
      </w:r>
      <w:r>
        <w:rPr>
          <w:rFonts w:hint="eastAsia" w:ascii="宋体" w:hAnsi="宋体" w:eastAsia="仿宋_GB2312" w:cs="仿宋_GB2312"/>
          <w:sz w:val="32"/>
          <w:szCs w:val="40"/>
        </w:rPr>
        <w:t>机关效能涉及面广、监督检查形式多样，经费使用上存在细分支出较难，绩效评价存在误差。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ascii="宋体" w:hAnsi="宋体"/>
          <w:sz w:val="32"/>
          <w:szCs w:val="32"/>
        </w:rPr>
      </w:pPr>
      <w:r>
        <w:rPr>
          <w:rFonts w:hint="eastAsia" w:ascii="宋体" w:hAnsi="宋体" w:eastAsia="黑体" w:cs="黑体"/>
          <w:color w:val="000000"/>
          <w:kern w:val="0"/>
          <w:sz w:val="32"/>
          <w:szCs w:val="32"/>
          <w:lang w:val="en-US" w:eastAsia="zh-CN" w:bidi="ar"/>
        </w:rPr>
        <w:t xml:space="preserve">三、评价总体结论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9" w:firstLineChars="200"/>
        <w:jc w:val="left"/>
        <w:textAlignment w:val="auto"/>
        <w:rPr>
          <w:rFonts w:hint="eastAsia" w:ascii="宋体" w:hAnsi="宋体" w:eastAsia="仿宋_GB2312" w:cs="仿宋_GB2312"/>
          <w:b/>
          <w:bCs/>
          <w:color w:val="000000"/>
          <w:kern w:val="0"/>
          <w:sz w:val="32"/>
          <w:szCs w:val="32"/>
          <w:lang w:val="en-US" w:eastAsia="zh-CN" w:bidi="ar"/>
        </w:rPr>
      </w:pPr>
      <w:r>
        <w:rPr>
          <w:rFonts w:hint="eastAsia" w:ascii="宋体" w:hAnsi="宋体" w:eastAsia="楷体_GB2312" w:cs="楷体_GB2312"/>
          <w:b/>
          <w:bCs w:val="0"/>
          <w:spacing w:val="4"/>
          <w:sz w:val="32"/>
          <w:szCs w:val="32"/>
          <w:lang w:val="en-US" w:eastAsia="zh-CN"/>
        </w:rPr>
        <w:t>（一）评价得分情况</w:t>
      </w:r>
      <w:r>
        <w:rPr>
          <w:rFonts w:hint="eastAsia" w:ascii="宋体" w:hAnsi="宋体" w:eastAsia="仿宋_GB2312" w:cs="仿宋_GB2312"/>
          <w:b/>
          <w:bCs/>
          <w:color w:val="000000"/>
          <w:kern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hint="eastAsia" w:ascii="宋体" w:hAnsi="宋体" w:eastAsia="仿宋_GB2312" w:cs="仿宋_GB2312"/>
          <w:sz w:val="32"/>
          <w:szCs w:val="32"/>
        </w:rPr>
        <w:t>经逐项自查自评，巡察工作经费项目</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乡镇纪检工作经费项目</w:t>
      </w:r>
      <w:r>
        <w:rPr>
          <w:rFonts w:hint="eastAsia" w:ascii="宋体" w:hAnsi="宋体" w:eastAsia="仿宋_GB2312" w:cs="仿宋_GB2312"/>
          <w:sz w:val="32"/>
          <w:szCs w:val="32"/>
          <w:lang w:eastAsia="zh-CN"/>
        </w:rPr>
        <w:t>、监察动行工作经费、机关效能工作经费项目、非税收入执收成本项目均</w:t>
      </w:r>
      <w:r>
        <w:rPr>
          <w:rFonts w:hint="eastAsia" w:ascii="宋体" w:hAnsi="宋体" w:eastAsia="仿宋_GB2312" w:cs="仿宋_GB2312"/>
          <w:sz w:val="32"/>
          <w:szCs w:val="32"/>
        </w:rPr>
        <w:t>实施过程程序规范，资金管理到位，资金使用发挥了最大的效益，自评得分100分，结论为优秀。</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en-US" w:eastAsia="zh-CN"/>
        </w:rPr>
      </w:pPr>
      <w:r>
        <w:rPr>
          <w:rFonts w:hint="eastAsia" w:ascii="宋体" w:hAnsi="宋体" w:eastAsia="楷体_GB2312" w:cs="楷体_GB2312"/>
          <w:b/>
          <w:bCs w:val="0"/>
          <w:spacing w:val="4"/>
          <w:sz w:val="32"/>
          <w:szCs w:val="32"/>
          <w:lang w:val="en-US" w:eastAsia="zh-CN"/>
        </w:rPr>
        <w:t xml:space="preserve">（二）评价总体结论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hint="eastAsia" w:ascii="宋体" w:hAnsi="宋体" w:eastAsia="仿宋_GB2312" w:cs="仿宋_GB2312"/>
          <w:sz w:val="32"/>
          <w:szCs w:val="32"/>
        </w:rPr>
        <w:t>严格按照上级文件要求实施项目，实施程序和资金管理规范，项目资金已全部使用在纪检监察工作中，取得了良好的政治、经济和社会效果。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hint="eastAsia" w:ascii="宋体" w:hAnsi="宋体" w:eastAsia="黑体" w:cs="黑体"/>
          <w:color w:val="000000"/>
          <w:kern w:val="0"/>
          <w:sz w:val="32"/>
          <w:szCs w:val="32"/>
          <w:lang w:val="en-US" w:eastAsia="zh-CN" w:bidi="ar"/>
        </w:rPr>
        <w:t xml:space="preserve">四、部门整体支出绩效实现情况 </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（一）履职完成情况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bCs/>
          <w:sz w:val="32"/>
          <w:szCs w:val="32"/>
        </w:rPr>
      </w:pPr>
      <w:r>
        <w:rPr>
          <w:rFonts w:hint="eastAsia" w:ascii="宋体" w:hAnsi="宋体" w:eastAsia="仿宋_GB2312" w:cs="仿宋_GB2312"/>
          <w:sz w:val="32"/>
          <w:szCs w:val="32"/>
        </w:rPr>
        <w:t>根据年初</w:t>
      </w:r>
      <w:r>
        <w:rPr>
          <w:rFonts w:hint="eastAsia" w:ascii="宋体" w:hAnsi="宋体" w:eastAsia="仿宋_GB2312" w:cs="仿宋_GB2312"/>
          <w:sz w:val="32"/>
          <w:szCs w:val="32"/>
          <w:lang w:eastAsia="zh-CN"/>
        </w:rPr>
        <w:t>部门整体支出绩效</w:t>
      </w:r>
      <w:r>
        <w:rPr>
          <w:rFonts w:hint="eastAsia" w:ascii="宋体" w:hAnsi="宋体" w:eastAsia="仿宋_GB2312" w:cs="仿宋_GB2312"/>
          <w:sz w:val="32"/>
          <w:szCs w:val="32"/>
        </w:rPr>
        <w:t>目标，从数量、质量、时效等方面来看，</w:t>
      </w:r>
      <w:r>
        <w:rPr>
          <w:rFonts w:hint="eastAsia" w:ascii="宋体" w:hAnsi="宋体" w:eastAsia="仿宋_GB2312" w:cs="仿宋_GB2312"/>
          <w:sz w:val="32"/>
          <w:szCs w:val="32"/>
          <w:lang w:eastAsia="zh-CN"/>
        </w:rPr>
        <w:t>各项工作</w:t>
      </w:r>
      <w:r>
        <w:rPr>
          <w:rFonts w:hint="eastAsia" w:ascii="宋体" w:hAnsi="宋体" w:eastAsia="仿宋_GB2312" w:cs="仿宋_GB2312"/>
          <w:sz w:val="32"/>
          <w:szCs w:val="32"/>
        </w:rPr>
        <w:t>均达到了预期效果，</w:t>
      </w:r>
      <w:r>
        <w:rPr>
          <w:rFonts w:hint="eastAsia" w:ascii="宋体" w:hAnsi="宋体" w:eastAsia="仿宋_GB2312" w:cs="仿宋_GB2312"/>
          <w:sz w:val="32"/>
          <w:szCs w:val="32"/>
          <w:lang w:eastAsia="zh-CN"/>
        </w:rPr>
        <w:t>机关高效有序运行，留置专区运行稳步推进</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（二）履职效果情况</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部门履职及履职效益良好。一是</w:t>
      </w:r>
      <w:r>
        <w:rPr>
          <w:rFonts w:hint="eastAsia" w:ascii="宋体" w:hAnsi="宋体" w:eastAsia="仿宋_GB2312" w:cs="仿宋_GB2312"/>
          <w:sz w:val="32"/>
          <w:szCs w:val="32"/>
          <w:lang w:eastAsia="zh-CN"/>
        </w:rPr>
        <w:t>机关高效有序运转</w:t>
      </w:r>
      <w:r>
        <w:rPr>
          <w:rFonts w:hint="eastAsia" w:ascii="宋体" w:hAnsi="宋体" w:eastAsia="仿宋_GB2312" w:cs="仿宋_GB2312"/>
          <w:sz w:val="32"/>
          <w:szCs w:val="32"/>
        </w:rPr>
        <w:t>；二是各项工作均能</w:t>
      </w:r>
      <w:r>
        <w:rPr>
          <w:rFonts w:hint="eastAsia" w:ascii="宋体" w:hAnsi="宋体" w:eastAsia="仿宋_GB2312" w:cs="仿宋_GB2312"/>
          <w:sz w:val="32"/>
          <w:szCs w:val="32"/>
          <w:lang w:eastAsia="zh-CN"/>
        </w:rPr>
        <w:t>高质高效完成</w:t>
      </w:r>
      <w:r>
        <w:rPr>
          <w:rFonts w:hint="eastAsia" w:ascii="宋体" w:hAnsi="宋体" w:eastAsia="仿宋_GB2312" w:cs="仿宋_GB2312"/>
          <w:sz w:val="32"/>
          <w:szCs w:val="32"/>
        </w:rPr>
        <w:t>；三是部门整体支出使用效果达到了预期。</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（三）社会满意度及可持续影响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rPr>
      </w:pPr>
      <w:r>
        <w:rPr>
          <w:rFonts w:hint="eastAsia" w:ascii="宋体" w:hAnsi="宋体" w:eastAsia="仿宋_GB2312" w:cs="仿宋_GB2312"/>
          <w:sz w:val="32"/>
          <w:szCs w:val="32"/>
        </w:rPr>
        <w:t>全县纪检监察机关紧紧围绕全县经济社会发展大局，忠实履行党章和宪法赋予的职责，稳中求进、坚定稳妥、担当实干，持续正风肃纪，减少存量，遏制增量，</w:t>
      </w:r>
      <w:r>
        <w:rPr>
          <w:rFonts w:hint="eastAsia" w:ascii="宋体" w:hAnsi="宋体" w:eastAsia="仿宋_GB2312" w:cs="仿宋_GB2312"/>
          <w:sz w:val="32"/>
          <w:szCs w:val="32"/>
          <w:lang w:eastAsia="zh-CN"/>
        </w:rPr>
        <w:t>进一步</w:t>
      </w:r>
      <w:r>
        <w:rPr>
          <w:rFonts w:hint="eastAsia" w:ascii="宋体" w:hAnsi="宋体" w:eastAsia="仿宋_GB2312" w:cs="仿宋_GB2312"/>
          <w:sz w:val="32"/>
          <w:szCs w:val="32"/>
        </w:rPr>
        <w:t>营造了不敢腐、不想腐、不能腐的风清气正政治生态</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得到广大干部群众的充分肯定</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全县党风廉政建设和反腐败工作取得新成效，有力服务保障全县经济社会高质量跨越式发展。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hint="eastAsia" w:ascii="宋体" w:hAnsi="宋体" w:eastAsia="黑体" w:cs="黑体"/>
          <w:color w:val="000000"/>
          <w:kern w:val="0"/>
          <w:sz w:val="32"/>
          <w:szCs w:val="32"/>
          <w:lang w:val="en-US" w:eastAsia="zh-CN" w:bidi="ar"/>
        </w:rPr>
        <w:t xml:space="preserve">五、部门整体支出绩效中存在问题及改进措施 </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（一）主要问题及原因分析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宋体" w:hAnsi="宋体" w:eastAsia="仿宋_GB2312" w:cs="仿宋_GB2312"/>
          <w:b/>
          <w:bCs/>
          <w:sz w:val="32"/>
          <w:szCs w:val="32"/>
        </w:rPr>
      </w:pPr>
      <w:r>
        <w:rPr>
          <w:rFonts w:hint="eastAsia" w:ascii="宋体" w:hAnsi="宋体" w:eastAsia="仿宋_GB2312" w:cs="仿宋_GB2312"/>
          <w:sz w:val="32"/>
          <w:szCs w:val="32"/>
        </w:rPr>
        <w:t>1.预算编制工作有待细化。预算编制不够明确和细化，预算编制的合理性需要提高，预算执行力度还要进一加强。2.财政下拨单位经费不及时，资金使用较为被动，不利于各项工作的开展。3.受物价上涨等因素的影响，公用经费和“三公”经费控制有一定难度，基本为刚性支出。</w:t>
      </w:r>
    </w:p>
    <w:p>
      <w:pPr>
        <w:keepNext w:val="0"/>
        <w:keepLines w:val="0"/>
        <w:pageBreakBefore w:val="0"/>
        <w:widowControl w:val="0"/>
        <w:kinsoku/>
        <w:wordWrap/>
        <w:overflowPunct/>
        <w:topLinePunct w:val="0"/>
        <w:autoSpaceDE/>
        <w:autoSpaceDN/>
        <w:bidi w:val="0"/>
        <w:adjustRightInd/>
        <w:snapToGrid/>
        <w:spacing w:line="560" w:lineRule="exact"/>
        <w:ind w:firstLine="659" w:firstLineChars="200"/>
        <w:textAlignment w:val="auto"/>
        <w:rPr>
          <w:rFonts w:hint="eastAsia" w:ascii="宋体" w:hAnsi="宋体" w:eastAsia="楷体_GB2312" w:cs="楷体_GB2312"/>
          <w:b/>
          <w:bCs w:val="0"/>
          <w:spacing w:val="4"/>
          <w:sz w:val="32"/>
          <w:szCs w:val="32"/>
          <w:lang w:val="zh-CN" w:eastAsia="zh-CN"/>
        </w:rPr>
      </w:pPr>
      <w:r>
        <w:rPr>
          <w:rFonts w:hint="eastAsia" w:ascii="宋体" w:hAnsi="宋体" w:eastAsia="楷体_GB2312" w:cs="楷体_GB2312"/>
          <w:b/>
          <w:bCs w:val="0"/>
          <w:spacing w:val="4"/>
          <w:sz w:val="32"/>
          <w:szCs w:val="32"/>
          <w:lang w:val="zh-CN" w:eastAsia="zh-CN"/>
        </w:rPr>
        <w:t>（二）改进的方向和具体措施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针对上述问题及整体支出管理工作的需要，拟从以下几方面进行改进：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1.认真做好预算编制。进一步强化单位内部机构各科室的预算管理意识，严格按照预算编制的相关制度和要求进行预算编制</w:t>
      </w:r>
      <w:r>
        <w:rPr>
          <w:rFonts w:hint="eastAsia" w:ascii="宋体" w:hAnsi="宋体" w:eastAsia="仿宋_GB2312" w:cs="仿宋_GB2312"/>
          <w:sz w:val="32"/>
          <w:szCs w:val="32"/>
          <w:lang w:eastAsia="zh-CN"/>
        </w:rPr>
        <w:t>，确保</w:t>
      </w:r>
      <w:r>
        <w:rPr>
          <w:rFonts w:hint="eastAsia" w:ascii="宋体" w:hAnsi="宋体" w:eastAsia="仿宋_GB2312" w:cs="仿宋_GB2312"/>
          <w:sz w:val="32"/>
          <w:szCs w:val="32"/>
        </w:rPr>
        <w:t>预算项目</w:t>
      </w:r>
      <w:r>
        <w:rPr>
          <w:rFonts w:hint="eastAsia" w:ascii="宋体" w:hAnsi="宋体" w:eastAsia="仿宋_GB2312" w:cs="仿宋_GB2312"/>
          <w:sz w:val="32"/>
          <w:szCs w:val="32"/>
          <w:lang w:eastAsia="zh-CN"/>
        </w:rPr>
        <w:t>完整、齐全</w:t>
      </w:r>
      <w:r>
        <w:rPr>
          <w:rFonts w:hint="eastAsia" w:ascii="宋体" w:hAnsi="宋体" w:eastAsia="仿宋_GB2312" w:cs="仿宋_GB2312"/>
          <w:sz w:val="32"/>
          <w:szCs w:val="32"/>
        </w:rPr>
        <w:t>，优先保障固定性的、相对刚性的费用支出项目，尽量压缩变动性的、有控制空间的费用项目，进一步提高预算编制的科学性、严谨性和可控性。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2.加强财务管理。</w:t>
      </w:r>
      <w:r>
        <w:rPr>
          <w:rFonts w:hint="eastAsia" w:ascii="宋体" w:hAnsi="宋体" w:eastAsia="仿宋_GB2312" w:cs="仿宋_GB2312"/>
          <w:sz w:val="32"/>
          <w:szCs w:val="32"/>
          <w:lang w:eastAsia="zh-CN"/>
        </w:rPr>
        <w:t>进一步</w:t>
      </w:r>
      <w:r>
        <w:rPr>
          <w:rFonts w:hint="eastAsia" w:ascii="宋体" w:hAnsi="宋体" w:eastAsia="仿宋_GB2312" w:cs="仿宋_GB2312"/>
          <w:sz w:val="32"/>
          <w:szCs w:val="32"/>
        </w:rPr>
        <w:t>健全单位财务管理制度</w:t>
      </w:r>
      <w:r>
        <w:rPr>
          <w:rFonts w:hint="eastAsia" w:ascii="宋体" w:hAnsi="宋体" w:eastAsia="仿宋_GB2312" w:cs="仿宋_GB2312"/>
          <w:sz w:val="32"/>
          <w:szCs w:val="32"/>
          <w:lang w:eastAsia="zh-CN"/>
        </w:rPr>
        <w:t>制度</w:t>
      </w:r>
      <w:r>
        <w:rPr>
          <w:rFonts w:hint="eastAsia" w:ascii="宋体" w:hAnsi="宋体" w:eastAsia="仿宋_GB2312" w:cs="仿宋_GB2312"/>
          <w:sz w:val="32"/>
          <w:szCs w:val="32"/>
        </w:rPr>
        <w:t>，规范单位财务行为。在费用报账支付时，按照预算规定的费用项目和用途进行资金使用审核、列报支付、财务核算，杜绝超支现象的发生。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3.严格“三公”经费支出。</w:t>
      </w:r>
      <w:r>
        <w:rPr>
          <w:rFonts w:hint="eastAsia" w:ascii="宋体" w:hAnsi="宋体" w:eastAsia="仿宋_GB2312" w:cs="仿宋_GB2312"/>
          <w:sz w:val="32"/>
          <w:szCs w:val="32"/>
          <w:lang w:eastAsia="zh-CN"/>
        </w:rPr>
        <w:t>落实过紧日子要求，</w:t>
      </w:r>
      <w:r>
        <w:rPr>
          <w:rFonts w:hint="eastAsia" w:ascii="宋体" w:hAnsi="宋体" w:eastAsia="仿宋_GB2312" w:cs="仿宋_GB2312"/>
          <w:sz w:val="32"/>
          <w:szCs w:val="32"/>
        </w:rPr>
        <w:t>严格控制“三公”经费的规模和比例，严把“三公”经费支出的审核关、审批关，杜绝挪用和挤占其他预算资金行为；进一步细化“三公”经费的管理，合理压缩“三公”经费支出。</w:t>
      </w: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rPr>
      </w:pPr>
      <w:bookmarkStart w:id="0" w:name="_GoBack"/>
      <w:bookmarkEnd w:id="0"/>
    </w:p>
    <w:p>
      <w:pPr>
        <w:pStyle w:val="2"/>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中共全南县纪委</w:t>
      </w:r>
      <w:r>
        <w:rPr>
          <w:rFonts w:hint="eastAsia" w:ascii="宋体" w:hAnsi="宋体" w:eastAsia="仿宋_GB2312" w:cs="仿宋_GB2312"/>
          <w:sz w:val="32"/>
          <w:szCs w:val="32"/>
          <w:lang w:eastAsia="zh-CN"/>
        </w:rPr>
        <w:t>财务</w:t>
      </w:r>
    </w:p>
    <w:p>
      <w:pPr>
        <w:ind w:firstLine="4800" w:firstLineChars="1500"/>
      </w:pP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1002C"/>
    <w:rsid w:val="05152299"/>
    <w:rsid w:val="053F6CB3"/>
    <w:rsid w:val="18564800"/>
    <w:rsid w:val="1CCB59D5"/>
    <w:rsid w:val="20785C37"/>
    <w:rsid w:val="4641002C"/>
    <w:rsid w:val="551607A2"/>
    <w:rsid w:val="55CE14B2"/>
    <w:rsid w:val="67D76D88"/>
    <w:rsid w:val="77012102"/>
    <w:rsid w:val="7DD6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30"/>
    </w:pPr>
    <w:rPr>
      <w:rFonts w:ascii="Calibri" w:hAnsi="Calibri"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3926</Words>
  <Characters>4117</Characters>
  <Lines>0</Lines>
  <Paragraphs>0</Paragraphs>
  <TotalTime>2</TotalTime>
  <ScaleCrop>false</ScaleCrop>
  <LinksUpToDate>false</LinksUpToDate>
  <CharactersWithSpaces>4141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2023-04-04T07:12:00Z</dcterms:created>
  <dc:creator>Administrator</dc:creator>
  <cp:lastModifiedBy>Administrator</cp:lastModifiedBy>
  <cp:lastPrinted>2023-04-04T08:02:00Z</cp:lastPrinted>
  <dcterms:modified xsi:type="dcterms:W3CDTF">2023-10-18T03:05:18Z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F66F0C313FC043CC9958C56F85BCC8B1</vt:lpwstr>
  </property>
</Properties>
</file>